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9C46" w14:textId="77777777" w:rsidR="00692C32" w:rsidRPr="00742870" w:rsidRDefault="00692C32" w:rsidP="00692C32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559CBB" wp14:editId="0F559CBC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9C47" w14:textId="77777777" w:rsidR="00692C32" w:rsidRPr="00C77F9A" w:rsidRDefault="00692C32" w:rsidP="00692C32">
      <w:pPr>
        <w:rPr>
          <w:sz w:val="20"/>
          <w:szCs w:val="20"/>
          <w:lang w:val="en-GB"/>
        </w:rPr>
      </w:pPr>
    </w:p>
    <w:p w14:paraId="0F559C48" w14:textId="739C648A" w:rsidR="00692C32" w:rsidRPr="00C77F9A" w:rsidRDefault="001E33EB" w:rsidP="00692C3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 June 2019</w:t>
      </w:r>
      <w:bookmarkStart w:id="0" w:name="_GoBack"/>
      <w:bookmarkEnd w:id="0"/>
    </w:p>
    <w:p w14:paraId="0F559C49" w14:textId="77777777" w:rsidR="00692C32" w:rsidRPr="00C77F9A" w:rsidRDefault="00692C32" w:rsidP="00692C32">
      <w:pPr>
        <w:rPr>
          <w:b/>
          <w:sz w:val="28"/>
          <w:szCs w:val="28"/>
          <w:lang w:val="en-GB"/>
        </w:rPr>
      </w:pPr>
      <w:r w:rsidRPr="00C77F9A">
        <w:rPr>
          <w:b/>
          <w:sz w:val="28"/>
          <w:szCs w:val="28"/>
          <w:lang w:val="en-GB"/>
        </w:rPr>
        <w:t>[84-19]</w:t>
      </w:r>
    </w:p>
    <w:p w14:paraId="0F559C4A" w14:textId="77777777" w:rsidR="00692C32" w:rsidRPr="00742870" w:rsidRDefault="00692C32" w:rsidP="00692C32">
      <w:pPr>
        <w:rPr>
          <w:sz w:val="20"/>
          <w:szCs w:val="20"/>
          <w:lang w:val="en-GB"/>
        </w:rPr>
      </w:pPr>
    </w:p>
    <w:p w14:paraId="0F559C4B" w14:textId="77777777" w:rsidR="00692C32" w:rsidRPr="001A1233" w:rsidRDefault="00692C32" w:rsidP="00692C32">
      <w:pPr>
        <w:pStyle w:val="FSTitle"/>
        <w:rPr>
          <w:b/>
          <w:szCs w:val="32"/>
        </w:rPr>
      </w:pPr>
      <w:r w:rsidRPr="001A1233">
        <w:rPr>
          <w:rFonts w:cs="Arial"/>
          <w:b/>
          <w:iCs/>
          <w:szCs w:val="32"/>
        </w:rPr>
        <w:t>Administrative Assessment</w:t>
      </w:r>
      <w:r w:rsidRPr="001A1233">
        <w:rPr>
          <w:b/>
          <w:szCs w:val="32"/>
        </w:rPr>
        <w:t xml:space="preserve"> Report –Application A1181</w:t>
      </w:r>
    </w:p>
    <w:p w14:paraId="0F559C4C" w14:textId="77777777" w:rsidR="00692C32" w:rsidRPr="00742870" w:rsidRDefault="00692C32" w:rsidP="00692C32">
      <w:pPr>
        <w:rPr>
          <w:sz w:val="20"/>
          <w:szCs w:val="20"/>
          <w:lang w:val="en-GB"/>
        </w:rPr>
      </w:pPr>
    </w:p>
    <w:p w14:paraId="0F559C4D" w14:textId="77777777" w:rsidR="00692C32" w:rsidRPr="001A1233" w:rsidRDefault="00692C32" w:rsidP="00692C32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1A1233">
        <w:rPr>
          <w:b w:val="0"/>
          <w:i w:val="0"/>
          <w:sz w:val="32"/>
          <w:szCs w:val="32"/>
          <w:lang w:val="en-GB"/>
        </w:rPr>
        <w:t>MRLs for Imazapyr in Barley Grain</w:t>
      </w:r>
    </w:p>
    <w:p w14:paraId="0F559C4E" w14:textId="77777777" w:rsidR="00692C32" w:rsidRPr="00742870" w:rsidRDefault="00692C32" w:rsidP="00692C32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F559C4F" w14:textId="77777777" w:rsidR="00692C32" w:rsidRPr="00742870" w:rsidRDefault="00692C32" w:rsidP="00692C32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692C32" w:rsidRPr="00742870" w14:paraId="0F559C53" w14:textId="77777777" w:rsidTr="00D73F0F">
        <w:tc>
          <w:tcPr>
            <w:tcW w:w="9065" w:type="dxa"/>
            <w:gridSpan w:val="3"/>
          </w:tcPr>
          <w:p w14:paraId="0F559C50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received:  </w:t>
            </w:r>
            <w:r>
              <w:rPr>
                <w:b/>
                <w:lang w:val="en-GB"/>
              </w:rPr>
              <w:t>17 May 2019</w:t>
            </w:r>
          </w:p>
          <w:p w14:paraId="0F559C51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administrative assessment:</w:t>
            </w:r>
            <w:r w:rsidRPr="00742870">
              <w:rPr>
                <w:lang w:val="en-GB"/>
              </w:rPr>
              <w:t xml:space="preserve">  </w:t>
            </w:r>
            <w:r>
              <w:rPr>
                <w:lang w:val="en-GB"/>
              </w:rPr>
              <w:t>12 June 2019</w:t>
            </w:r>
          </w:p>
          <w:p w14:paraId="0F559C52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completed:  </w:t>
            </w:r>
            <w:r>
              <w:rPr>
                <w:b/>
                <w:lang w:val="en-GB"/>
              </w:rPr>
              <w:t>12 June 2019</w:t>
            </w:r>
          </w:p>
        </w:tc>
      </w:tr>
      <w:tr w:rsidR="00692C32" w:rsidRPr="00742870" w14:paraId="0F559C59" w14:textId="77777777" w:rsidTr="00D73F0F">
        <w:trPr>
          <w:trHeight w:val="750"/>
        </w:trPr>
        <w:tc>
          <w:tcPr>
            <w:tcW w:w="6828" w:type="dxa"/>
            <w:gridSpan w:val="2"/>
          </w:tcPr>
          <w:p w14:paraId="0F559C54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 </w:t>
            </w:r>
            <w:r>
              <w:rPr>
                <w:lang w:val="en-GB"/>
              </w:rPr>
              <w:t>BASF Australia</w:t>
            </w:r>
          </w:p>
        </w:tc>
        <w:tc>
          <w:tcPr>
            <w:tcW w:w="2237" w:type="dxa"/>
            <w:vMerge w:val="restart"/>
          </w:tcPr>
          <w:p w14:paraId="0F559C55" w14:textId="77777777" w:rsidR="00692C32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affected standard:</w:t>
            </w:r>
          </w:p>
          <w:p w14:paraId="0F559C56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Schedule 20 of the Food Standards Code (the Code)</w:t>
            </w:r>
          </w:p>
          <w:p w14:paraId="0F559C57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  <w:p w14:paraId="0F559C58" w14:textId="77777777" w:rsidR="00692C32" w:rsidRPr="00742870" w:rsidRDefault="00692C32" w:rsidP="00D73F0F">
            <w:pPr>
              <w:rPr>
                <w:rFonts w:cs="Arial"/>
                <w:sz w:val="20"/>
                <w:lang w:val="en-GB"/>
              </w:rPr>
            </w:pPr>
          </w:p>
        </w:tc>
      </w:tr>
      <w:tr w:rsidR="00692C32" w:rsidRPr="00742870" w14:paraId="0F559C5E" w14:textId="77777777" w:rsidTr="00D73F0F">
        <w:trPr>
          <w:trHeight w:val="750"/>
        </w:trPr>
        <w:tc>
          <w:tcPr>
            <w:tcW w:w="6828" w:type="dxa"/>
            <w:gridSpan w:val="2"/>
          </w:tcPr>
          <w:p w14:paraId="0F559C5A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description of Application:</w:t>
            </w:r>
          </w:p>
          <w:p w14:paraId="0F559C5B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 align MRL for Imazapyr residues in barley grain in Schedule 20 of the Code with that in the APVMA MRL standard and Codex</w:t>
            </w:r>
          </w:p>
          <w:p w14:paraId="0F559C5C" w14:textId="77777777" w:rsidR="00692C32" w:rsidRPr="00742870" w:rsidRDefault="00692C32" w:rsidP="00D73F0F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0F559C5D" w14:textId="77777777" w:rsidR="00692C32" w:rsidRPr="00742870" w:rsidRDefault="00692C32" w:rsidP="00D73F0F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692C32" w:rsidRPr="00742870" w14:paraId="0F559C6C" w14:textId="77777777" w:rsidTr="00D73F0F">
        <w:trPr>
          <w:trHeight w:val="750"/>
        </w:trPr>
        <w:tc>
          <w:tcPr>
            <w:tcW w:w="3228" w:type="dxa"/>
          </w:tcPr>
          <w:p w14:paraId="0F559C5F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0F559C60" w14:textId="77777777" w:rsidR="00692C32" w:rsidRPr="00742870" w:rsidRDefault="00692C32" w:rsidP="00D73F0F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1A1233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  <w:p w14:paraId="0F559C61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  <w:p w14:paraId="0F559C62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0F559C63" w14:textId="77777777" w:rsidR="00692C32" w:rsidRPr="00475636" w:rsidRDefault="00692C32" w:rsidP="00D73F0F">
            <w:pPr>
              <w:pStyle w:val="AARTableText"/>
              <w:rPr>
                <w:lang w:val="en-GB"/>
              </w:rPr>
            </w:pPr>
            <w:r w:rsidRPr="00475636">
              <w:rPr>
                <w:b/>
                <w:lang w:val="en-GB"/>
              </w:rPr>
              <w:t>Estimated total hours:</w:t>
            </w:r>
            <w:r w:rsidRPr="00475636">
              <w:rPr>
                <w:lang w:val="en-GB"/>
              </w:rPr>
              <w:t xml:space="preserve"> </w:t>
            </w:r>
          </w:p>
          <w:p w14:paraId="0F559C64" w14:textId="77777777" w:rsidR="00692C32" w:rsidRPr="00475636" w:rsidRDefault="00692C32" w:rsidP="00D73F0F">
            <w:pPr>
              <w:pStyle w:val="AARTableText"/>
              <w:rPr>
                <w:lang w:val="en-GB"/>
              </w:rPr>
            </w:pPr>
            <w:r w:rsidRPr="00475636">
              <w:rPr>
                <w:lang w:val="en-GB"/>
              </w:rPr>
              <w:t>Maximum 350 hours (Level 1)</w:t>
            </w:r>
          </w:p>
          <w:p w14:paraId="0F559C65" w14:textId="77777777" w:rsidR="00692C32" w:rsidRPr="00475636" w:rsidRDefault="00692C32" w:rsidP="00D73F0F">
            <w:pPr>
              <w:pStyle w:val="AARTableText"/>
              <w:rPr>
                <w:lang w:val="en-GB"/>
              </w:rPr>
            </w:pPr>
          </w:p>
          <w:p w14:paraId="0F559C66" w14:textId="77777777" w:rsidR="00692C32" w:rsidRPr="00475636" w:rsidRDefault="00692C32" w:rsidP="00D73F0F">
            <w:pPr>
              <w:pStyle w:val="AARTableText"/>
              <w:rPr>
                <w:b/>
                <w:lang w:val="en-GB"/>
              </w:rPr>
            </w:pPr>
            <w:r w:rsidRPr="00475636">
              <w:rPr>
                <w:lang w:val="en-GB"/>
              </w:rPr>
              <w:t>Reasons why</w:t>
            </w:r>
            <w:r w:rsidRPr="00475636">
              <w:rPr>
                <w:b/>
                <w:lang w:val="en-GB"/>
              </w:rPr>
              <w:t>:</w:t>
            </w:r>
          </w:p>
          <w:p w14:paraId="0F559C67" w14:textId="77777777" w:rsidR="00692C32" w:rsidRPr="00475636" w:rsidRDefault="00692C32" w:rsidP="00D73F0F">
            <w:pPr>
              <w:pStyle w:val="AARBullet"/>
              <w:rPr>
                <w:lang w:val="en-GB"/>
              </w:rPr>
            </w:pPr>
            <w:r w:rsidRPr="00475636">
              <w:rPr>
                <w:lang w:val="en-GB"/>
              </w:rPr>
              <w:t>To align the MRL in Schedule 20 of the Code for Imazapyr in barley grains with the current value in the APVMA MRL Standard and Codex.</w:t>
            </w:r>
          </w:p>
          <w:p w14:paraId="0F559C68" w14:textId="77777777" w:rsidR="00692C32" w:rsidRPr="00475636" w:rsidRDefault="00692C32" w:rsidP="00D73F0F">
            <w:pPr>
              <w:pStyle w:val="AARTableText"/>
              <w:rPr>
                <w:lang w:val="en-GB"/>
              </w:rPr>
            </w:pPr>
          </w:p>
          <w:p w14:paraId="0F559C69" w14:textId="77777777" w:rsidR="00692C32" w:rsidRPr="00475636" w:rsidRDefault="00692C32" w:rsidP="00D73F0F">
            <w:pPr>
              <w:pStyle w:val="AARBullet"/>
              <w:rPr>
                <w:lang w:val="en-GB"/>
              </w:rPr>
            </w:pPr>
            <w:r w:rsidRPr="00475636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detailed risk </w:t>
            </w:r>
            <w:r w:rsidRPr="00475636">
              <w:rPr>
                <w:lang w:val="en-GB"/>
              </w:rPr>
              <w:t>assessment</w:t>
            </w:r>
            <w:r>
              <w:rPr>
                <w:lang w:val="en-GB"/>
              </w:rPr>
              <w:t xml:space="preserve"> for </w:t>
            </w:r>
            <w:r w:rsidRPr="00475636">
              <w:rPr>
                <w:lang w:val="en-GB"/>
              </w:rPr>
              <w:t xml:space="preserve">the increased </w:t>
            </w:r>
            <w:r>
              <w:rPr>
                <w:lang w:val="en-GB"/>
              </w:rPr>
              <w:t xml:space="preserve">Imazapyr </w:t>
            </w:r>
            <w:r w:rsidRPr="00475636">
              <w:rPr>
                <w:lang w:val="en-GB"/>
              </w:rPr>
              <w:t xml:space="preserve">MRL </w:t>
            </w:r>
            <w:r>
              <w:rPr>
                <w:lang w:val="en-GB"/>
              </w:rPr>
              <w:t xml:space="preserve">in barley grains </w:t>
            </w:r>
            <w:r w:rsidRPr="00475636">
              <w:rPr>
                <w:lang w:val="en-GB"/>
              </w:rPr>
              <w:t>has been undertaken by the APVMA</w:t>
            </w:r>
            <w:r>
              <w:rPr>
                <w:lang w:val="en-GB"/>
              </w:rPr>
              <w:t xml:space="preserve">. </w:t>
            </w:r>
            <w:r w:rsidRPr="00475636">
              <w:rPr>
                <w:lang w:val="en-GB"/>
              </w:rPr>
              <w:t xml:space="preserve">FSANZ </w:t>
            </w:r>
            <w:r>
              <w:rPr>
                <w:lang w:val="en-GB"/>
              </w:rPr>
              <w:t>will therefore not have to</w:t>
            </w:r>
            <w:r w:rsidRPr="00475636">
              <w:rPr>
                <w:lang w:val="en-GB"/>
              </w:rPr>
              <w:t xml:space="preserve"> undertake a</w:t>
            </w:r>
            <w:r>
              <w:rPr>
                <w:lang w:val="en-GB"/>
              </w:rPr>
              <w:t>n</w:t>
            </w:r>
            <w:r w:rsidRPr="00475636">
              <w:rPr>
                <w:lang w:val="en-GB"/>
              </w:rPr>
              <w:t xml:space="preserve"> </w:t>
            </w:r>
            <w:r>
              <w:rPr>
                <w:lang w:val="en-GB"/>
              </w:rPr>
              <w:t>extensive risk</w:t>
            </w:r>
            <w:r w:rsidRPr="00475636">
              <w:rPr>
                <w:lang w:val="en-GB"/>
              </w:rPr>
              <w:t xml:space="preserve"> assessment</w:t>
            </w:r>
            <w:r>
              <w:rPr>
                <w:lang w:val="en-GB"/>
              </w:rPr>
              <w:t xml:space="preserve"> and evaluation</w:t>
            </w:r>
            <w:r w:rsidRPr="00475636">
              <w:rPr>
                <w:lang w:val="en-GB"/>
              </w:rPr>
              <w:t xml:space="preserve"> for</w:t>
            </w:r>
            <w:r>
              <w:rPr>
                <w:lang w:val="en-GB"/>
              </w:rPr>
              <w:t xml:space="preserve"> Australian</w:t>
            </w:r>
            <w:r w:rsidRPr="00475636">
              <w:rPr>
                <w:lang w:val="en-GB"/>
              </w:rPr>
              <w:t xml:space="preserve"> consumers.</w:t>
            </w:r>
          </w:p>
        </w:tc>
        <w:tc>
          <w:tcPr>
            <w:tcW w:w="2237" w:type="dxa"/>
          </w:tcPr>
          <w:p w14:paraId="0F559C6A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Provisional estimated start work:  </w:t>
            </w:r>
          </w:p>
          <w:p w14:paraId="0F559C6B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1A1233">
              <w:rPr>
                <w:lang w:val="en-GB"/>
              </w:rPr>
              <w:t>Late-June 2019</w:t>
            </w:r>
          </w:p>
        </w:tc>
      </w:tr>
    </w:tbl>
    <w:p w14:paraId="0F559C6D" w14:textId="77777777" w:rsidR="00692C32" w:rsidRPr="00742870" w:rsidRDefault="00692C32" w:rsidP="00692C32">
      <w:pPr>
        <w:rPr>
          <w:rFonts w:cs="Arial"/>
          <w:lang w:val="en-GB"/>
        </w:rPr>
      </w:pPr>
    </w:p>
    <w:p w14:paraId="0F559C6E" w14:textId="77777777" w:rsidR="00692C32" w:rsidRPr="00742870" w:rsidRDefault="00692C32" w:rsidP="00692C32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92C32" w:rsidRPr="00742870" w14:paraId="0F559C74" w14:textId="77777777" w:rsidTr="00D73F0F">
        <w:trPr>
          <w:cantSplit/>
          <w:trHeight w:val="523"/>
        </w:trPr>
        <w:tc>
          <w:tcPr>
            <w:tcW w:w="9072" w:type="dxa"/>
          </w:tcPr>
          <w:p w14:paraId="0F559C6F" w14:textId="77777777" w:rsidR="00692C32" w:rsidRPr="001A1233" w:rsidRDefault="00692C32" w:rsidP="00D73F0F">
            <w:pPr>
              <w:pStyle w:val="AARTableText"/>
              <w:rPr>
                <w:b/>
                <w:lang w:val="en-GB"/>
              </w:rPr>
            </w:pPr>
            <w:r w:rsidRPr="001A1233">
              <w:rPr>
                <w:b/>
                <w:lang w:val="en-GB"/>
              </w:rPr>
              <w:t xml:space="preserve">Application </w:t>
            </w:r>
            <w:r>
              <w:rPr>
                <w:b/>
                <w:lang w:val="en-GB"/>
              </w:rPr>
              <w:t xml:space="preserve">to be </w:t>
            </w:r>
            <w:r w:rsidRPr="001A1233">
              <w:rPr>
                <w:b/>
                <w:lang w:val="en-GB"/>
              </w:rPr>
              <w:t xml:space="preserve">accepted </w:t>
            </w:r>
          </w:p>
          <w:p w14:paraId="0F559C70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  <w:p w14:paraId="0F559C71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</w:t>
            </w:r>
          </w:p>
          <w:p w14:paraId="0F559C72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  <w:p w14:paraId="0F559C73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1A1233">
              <w:rPr>
                <w:b/>
                <w:lang w:val="en-GB"/>
              </w:rPr>
              <w:t xml:space="preserve">If fees not received, date of rejection:  </w:t>
            </w:r>
          </w:p>
        </w:tc>
      </w:tr>
    </w:tbl>
    <w:p w14:paraId="0F559C75" w14:textId="77777777" w:rsidR="00692C32" w:rsidRPr="00742870" w:rsidRDefault="00692C32" w:rsidP="00692C32">
      <w:pPr>
        <w:rPr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92C32" w:rsidRPr="00742870" w14:paraId="0F559C7D" w14:textId="77777777" w:rsidTr="00D73F0F">
        <w:trPr>
          <w:cantSplit/>
          <w:trHeight w:val="523"/>
        </w:trPr>
        <w:tc>
          <w:tcPr>
            <w:tcW w:w="9072" w:type="dxa"/>
          </w:tcPr>
          <w:p w14:paraId="0F559C76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requested confidential commercial information status? </w:t>
            </w:r>
          </w:p>
          <w:p w14:paraId="0F559C77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>
              <w:rPr>
                <w:rFonts w:eastAsia="Arial Unicode MS"/>
                <w:color w:val="FF0000"/>
                <w:lang w:val="en-GB"/>
              </w:rPr>
              <w:t xml:space="preserve">  </w:t>
            </w:r>
            <w:r w:rsidRPr="00742870">
              <w:rPr>
                <w:lang w:val="en-GB"/>
              </w:rPr>
              <w:tab/>
              <w:t>No</w:t>
            </w:r>
          </w:p>
          <w:p w14:paraId="0F559C78" w14:textId="77777777" w:rsidR="00692C32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</w:p>
          <w:p w14:paraId="0F559C79" w14:textId="77777777" w:rsidR="00692C32" w:rsidRPr="00475636" w:rsidRDefault="00692C32" w:rsidP="00D73F0F">
            <w:pPr>
              <w:pStyle w:val="AARTableText"/>
              <w:rPr>
                <w:lang w:val="en-GB"/>
              </w:rPr>
            </w:pPr>
            <w:r w:rsidRPr="00475636">
              <w:rPr>
                <w:lang w:val="en-GB"/>
              </w:rPr>
              <w:t>Appendix 1, page 8</w:t>
            </w:r>
          </w:p>
          <w:p w14:paraId="0F559C7A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  <w:p w14:paraId="0F559C7B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confidential commercial information request? </w:t>
            </w:r>
          </w:p>
          <w:p w14:paraId="0F559C7C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  </w:t>
            </w:r>
            <w:r w:rsidRPr="00742870">
              <w:rPr>
                <w:lang w:val="en-GB"/>
              </w:rPr>
              <w:t>No</w:t>
            </w:r>
            <w:r w:rsidRPr="00742870">
              <w:rPr>
                <w:lang w:val="en-GB"/>
              </w:rPr>
              <w:tab/>
              <w:t>N/A</w:t>
            </w:r>
          </w:p>
        </w:tc>
      </w:tr>
      <w:tr w:rsidR="00692C32" w:rsidRPr="00742870" w14:paraId="0F559C81" w14:textId="77777777" w:rsidTr="00D73F0F">
        <w:trPr>
          <w:cantSplit/>
          <w:trHeight w:val="900"/>
        </w:trPr>
        <w:tc>
          <w:tcPr>
            <w:tcW w:w="9072" w:type="dxa"/>
          </w:tcPr>
          <w:p w14:paraId="0F559C7E" w14:textId="77777777" w:rsidR="00692C32" w:rsidRPr="00221A6F" w:rsidRDefault="00692C32" w:rsidP="00D73F0F">
            <w:pPr>
              <w:pStyle w:val="AARTableText"/>
              <w:rPr>
                <w:b/>
                <w:lang w:val="en-GB"/>
              </w:rPr>
            </w:pPr>
            <w:r w:rsidRPr="00221A6F">
              <w:rPr>
                <w:b/>
                <w:lang w:val="en-GB"/>
              </w:rPr>
              <w:t>Is the Application for a High Level Health Claim?</w:t>
            </w:r>
          </w:p>
          <w:p w14:paraId="0F559C7F" w14:textId="77777777" w:rsidR="00692C32" w:rsidRPr="004471AB" w:rsidRDefault="00692C32" w:rsidP="00D73F0F">
            <w:pPr>
              <w:pStyle w:val="AARTableText"/>
              <w:rPr>
                <w:lang w:val="en-GB"/>
              </w:rPr>
            </w:pPr>
            <w:r w:rsidRPr="004471AB">
              <w:rPr>
                <w:lang w:val="en-GB"/>
              </w:rPr>
              <w:t>No</w:t>
            </w:r>
          </w:p>
          <w:p w14:paraId="0F559C80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</w:tc>
      </w:tr>
    </w:tbl>
    <w:p w14:paraId="0F559C82" w14:textId="77777777" w:rsidR="00692C32" w:rsidRPr="00742870" w:rsidRDefault="00692C32" w:rsidP="00692C32">
      <w:pPr>
        <w:rPr>
          <w:lang w:val="en-GB"/>
        </w:rPr>
      </w:pPr>
    </w:p>
    <w:p w14:paraId="0F559C83" w14:textId="77777777" w:rsidR="00692C32" w:rsidRPr="00742870" w:rsidRDefault="00692C32" w:rsidP="00692C32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92C32" w:rsidRPr="00742870" w14:paraId="0F559C88" w14:textId="77777777" w:rsidTr="00D73F0F">
        <w:trPr>
          <w:cantSplit/>
          <w:trHeight w:val="900"/>
        </w:trPr>
        <w:tc>
          <w:tcPr>
            <w:tcW w:w="9072" w:type="dxa"/>
          </w:tcPr>
          <w:p w14:paraId="0F559C84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FSANZ consider that the application confers an exclusive capturable commercial benefit on the Applicant?</w:t>
            </w:r>
          </w:p>
          <w:p w14:paraId="0F559C85" w14:textId="77777777" w:rsidR="00692C32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ab/>
              <w:t>Yes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 w:rsidRPr="00742870">
              <w:rPr>
                <w:lang w:val="en-GB"/>
              </w:rPr>
              <w:t>No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  <w:p w14:paraId="0F559C86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  <w:p w14:paraId="0F559C87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</w:t>
            </w:r>
            <w:r w:rsidRPr="00475636">
              <w:rPr>
                <w:b/>
                <w:lang w:val="en-GB"/>
              </w:rPr>
              <w:t>Late June 2019</w:t>
            </w:r>
          </w:p>
        </w:tc>
      </w:tr>
      <w:tr w:rsidR="00692C32" w:rsidRPr="00742870" w14:paraId="0F559C8B" w14:textId="77777777" w:rsidTr="00D73F0F">
        <w:trPr>
          <w:cantSplit/>
          <w:trHeight w:val="523"/>
        </w:trPr>
        <w:tc>
          <w:tcPr>
            <w:tcW w:w="9072" w:type="dxa"/>
          </w:tcPr>
          <w:p w14:paraId="0F559C89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Applicant want to expedite consideration of this Application?</w:t>
            </w:r>
          </w:p>
          <w:p w14:paraId="0F559C8A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ascii="Segoe UI Symbol" w:eastAsia="Arial Unicode MS" w:hAnsi="Segoe UI Symbol" w:cs="Segoe UI Symbol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  </w:t>
            </w:r>
          </w:p>
        </w:tc>
      </w:tr>
    </w:tbl>
    <w:p w14:paraId="0F559C8C" w14:textId="77777777" w:rsidR="00692C32" w:rsidRPr="00742870" w:rsidRDefault="00692C32" w:rsidP="00692C32">
      <w:pPr>
        <w:rPr>
          <w:lang w:val="en-GB"/>
        </w:rPr>
      </w:pPr>
    </w:p>
    <w:p w14:paraId="0F559C8D" w14:textId="77777777" w:rsidR="00692C32" w:rsidRPr="00742870" w:rsidRDefault="00692C32" w:rsidP="00692C32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Application Handbook requirements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92C32" w:rsidRPr="00742870" w14:paraId="0F559C95" w14:textId="77777777" w:rsidTr="00D73F0F">
        <w:trPr>
          <w:cantSplit/>
          <w:trHeight w:val="523"/>
        </w:trPr>
        <w:tc>
          <w:tcPr>
            <w:tcW w:w="9072" w:type="dxa"/>
          </w:tcPr>
          <w:p w14:paraId="0F559C8E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Which Guidelines within the Part 3 of the </w:t>
            </w:r>
            <w:r w:rsidRPr="00742870">
              <w:rPr>
                <w:b/>
                <w:i/>
                <w:lang w:val="en-GB"/>
              </w:rPr>
              <w:t>Application Handbook</w:t>
            </w:r>
            <w:r w:rsidRPr="00742870">
              <w:rPr>
                <w:b/>
                <w:lang w:val="en-GB"/>
              </w:rPr>
              <w:t xml:space="preserve"> apply to this Application?</w:t>
            </w:r>
          </w:p>
          <w:p w14:paraId="0F559C8F" w14:textId="77777777" w:rsidR="00692C32" w:rsidRPr="00475636" w:rsidRDefault="00692C32" w:rsidP="00D73F0F">
            <w:pPr>
              <w:pStyle w:val="AARTableText"/>
              <w:rPr>
                <w:lang w:val="en-GB"/>
              </w:rPr>
            </w:pPr>
            <w:r w:rsidRPr="00475636">
              <w:rPr>
                <w:lang w:val="en-GB"/>
              </w:rPr>
              <w:t>All the Guidelines in Chapter 3.1 (A – L).</w:t>
            </w:r>
          </w:p>
          <w:p w14:paraId="0F559C90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0F559C91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>
              <w:rPr>
                <w:rFonts w:eastAsia="Arial Unicode MS"/>
                <w:color w:val="FF0000"/>
                <w:lang w:val="en-GB"/>
              </w:rPr>
              <w:t xml:space="preserve">  </w:t>
            </w:r>
            <w:r w:rsidRPr="00742870">
              <w:rPr>
                <w:lang w:val="en-GB"/>
              </w:rPr>
              <w:tab/>
              <w:t>No</w:t>
            </w:r>
          </w:p>
          <w:p w14:paraId="0F559C92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F559C93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   </w:t>
            </w:r>
            <w:r w:rsidRPr="00742870">
              <w:rPr>
                <w:lang w:val="en-GB"/>
              </w:rPr>
              <w:t xml:space="preserve">No </w:t>
            </w:r>
          </w:p>
          <w:p w14:paraId="0F559C94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 </w:t>
            </w:r>
          </w:p>
        </w:tc>
      </w:tr>
      <w:tr w:rsidR="00692C32" w:rsidRPr="00742870" w14:paraId="0F559C99" w14:textId="77777777" w:rsidTr="00D73F0F">
        <w:trPr>
          <w:cantSplit/>
          <w:trHeight w:val="523"/>
        </w:trPr>
        <w:tc>
          <w:tcPr>
            <w:tcW w:w="9072" w:type="dxa"/>
          </w:tcPr>
          <w:p w14:paraId="0F559C96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F559C97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ab/>
              <w:t>Yes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>
              <w:rPr>
                <w:rFonts w:eastAsia="Arial Unicode MS"/>
                <w:color w:val="FF0000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</w:p>
          <w:p w14:paraId="0F559C98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</w:tc>
      </w:tr>
      <w:tr w:rsidR="00692C32" w:rsidRPr="00742870" w14:paraId="0F559C9D" w14:textId="77777777" w:rsidTr="00D73F0F">
        <w:trPr>
          <w:cantSplit/>
          <w:trHeight w:val="523"/>
        </w:trPr>
        <w:tc>
          <w:tcPr>
            <w:tcW w:w="9072" w:type="dxa"/>
          </w:tcPr>
          <w:p w14:paraId="0F559C9A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 so similar to a previous application or proposal for the development or variation of a food regulatory measure that it ought not to be accepted?</w:t>
            </w:r>
          </w:p>
          <w:p w14:paraId="0F559C9B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>`</w:t>
            </w:r>
            <w:r w:rsidRPr="00742870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</w:p>
          <w:p w14:paraId="0F559C9C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</w:tc>
      </w:tr>
      <w:tr w:rsidR="00692C32" w:rsidRPr="00742870" w14:paraId="0F559CA2" w14:textId="77777777" w:rsidTr="00D73F0F">
        <w:trPr>
          <w:cantSplit/>
          <w:trHeight w:val="523"/>
        </w:trPr>
        <w:tc>
          <w:tcPr>
            <w:tcW w:w="9072" w:type="dxa"/>
          </w:tcPr>
          <w:p w14:paraId="0F559C9E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Applicant identify the Procedure that, in their view, applies to the consideration of this Application?</w:t>
            </w:r>
          </w:p>
          <w:p w14:paraId="0F559C9F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</w:t>
            </w:r>
            <w:r w:rsidRPr="00742870">
              <w:rPr>
                <w:lang w:val="en-GB"/>
              </w:rPr>
              <w:t>No</w:t>
            </w:r>
          </w:p>
          <w:p w14:paraId="0F559CA0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0F559CA1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475636">
              <w:rPr>
                <w:lang w:val="en-GB"/>
              </w:rPr>
              <w:t>General</w:t>
            </w:r>
            <w:r w:rsidRPr="007D4E74">
              <w:rPr>
                <w:color w:val="00B050"/>
                <w:lang w:val="en-GB"/>
              </w:rPr>
              <w:tab/>
            </w:r>
          </w:p>
        </w:tc>
      </w:tr>
      <w:tr w:rsidR="00692C32" w:rsidRPr="00742870" w14:paraId="0F559CA6" w14:textId="77777777" w:rsidTr="00D73F0F">
        <w:trPr>
          <w:cantSplit/>
          <w:trHeight w:val="523"/>
        </w:trPr>
        <w:tc>
          <w:tcPr>
            <w:tcW w:w="9072" w:type="dxa"/>
          </w:tcPr>
          <w:p w14:paraId="0F559CA3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Other Comments or Relevant Matters:</w:t>
            </w:r>
          </w:p>
          <w:p w14:paraId="0F559CA4" w14:textId="77777777" w:rsidR="00692C32" w:rsidRPr="00475636" w:rsidRDefault="00692C32" w:rsidP="00D73F0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75636">
              <w:rPr>
                <w:lang w:val="en-GB"/>
              </w:rPr>
              <w:t xml:space="preserve">he applicant has stated that any changes to the MRL will not provide it with exclusive capturable commercial benefit, </w:t>
            </w:r>
            <w:r>
              <w:rPr>
                <w:lang w:val="en-GB"/>
              </w:rPr>
              <w:t xml:space="preserve">but </w:t>
            </w:r>
            <w:r w:rsidRPr="00475636">
              <w:rPr>
                <w:lang w:val="en-GB"/>
              </w:rPr>
              <w:t>aligning the MRL for Imazapyr in barley grains in Schedule 20 with that in the APVMA MRL Standards</w:t>
            </w:r>
            <w:r>
              <w:rPr>
                <w:lang w:val="en-GB"/>
              </w:rPr>
              <w:t>,</w:t>
            </w:r>
            <w:r w:rsidRPr="0047563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will </w:t>
            </w:r>
            <w:r w:rsidRPr="00475636">
              <w:rPr>
                <w:lang w:val="en-GB"/>
              </w:rPr>
              <w:t>provid</w:t>
            </w:r>
            <w:r>
              <w:rPr>
                <w:lang w:val="en-GB"/>
              </w:rPr>
              <w:t>e</w:t>
            </w:r>
            <w:r w:rsidRPr="00475636">
              <w:rPr>
                <w:lang w:val="en-GB"/>
              </w:rPr>
              <w:t xml:space="preserve"> uniform information for the activities of the domestic food regulatory agencies. It also provides consistency with the current international MRL for the chemical and food commodity combination.</w:t>
            </w:r>
          </w:p>
          <w:p w14:paraId="0F559CA5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>
              <w:rPr>
                <w:color w:val="FF0000"/>
                <w:lang w:val="en-GB"/>
              </w:rPr>
              <w:t xml:space="preserve">  </w:t>
            </w:r>
          </w:p>
        </w:tc>
      </w:tr>
    </w:tbl>
    <w:p w14:paraId="0F559CA7" w14:textId="77777777" w:rsidR="00692C32" w:rsidRPr="00742870" w:rsidRDefault="00692C32" w:rsidP="00692C32">
      <w:pPr>
        <w:rPr>
          <w:rFonts w:cs="Arial"/>
          <w:lang w:val="en-GB"/>
        </w:rPr>
      </w:pPr>
    </w:p>
    <w:p w14:paraId="0F559CA8" w14:textId="77777777" w:rsidR="00692C32" w:rsidRPr="00742870" w:rsidRDefault="00692C32" w:rsidP="00692C32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Consultation &amp; assessment timeframe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692C32" w:rsidRPr="00742870" w14:paraId="0F559CAC" w14:textId="77777777" w:rsidTr="00D73F0F">
        <w:trPr>
          <w:cantSplit/>
        </w:trPr>
        <w:tc>
          <w:tcPr>
            <w:tcW w:w="9067" w:type="dxa"/>
          </w:tcPr>
          <w:p w14:paraId="0F559CA9" w14:textId="77777777" w:rsidR="00692C32" w:rsidRPr="001762B7" w:rsidRDefault="00692C32" w:rsidP="00D73F0F">
            <w:pPr>
              <w:pStyle w:val="AARTableText"/>
              <w:rPr>
                <w:b/>
                <w:lang w:val="en-GB"/>
              </w:rPr>
            </w:pPr>
            <w:r w:rsidRPr="001762B7">
              <w:rPr>
                <w:b/>
                <w:lang w:val="en-GB"/>
              </w:rPr>
              <w:t xml:space="preserve">Proposed length of public consultation period  </w:t>
            </w:r>
          </w:p>
          <w:p w14:paraId="0F559CAA" w14:textId="77777777" w:rsidR="00692C32" w:rsidRPr="001762B7" w:rsidRDefault="00692C32" w:rsidP="00D73F0F">
            <w:pPr>
              <w:pStyle w:val="AARTableText"/>
              <w:rPr>
                <w:lang w:val="en-GB"/>
              </w:rPr>
            </w:pPr>
            <w:r w:rsidRPr="001762B7">
              <w:rPr>
                <w:lang w:val="en-GB"/>
              </w:rPr>
              <w:t xml:space="preserve">2 weeks – domestic </w:t>
            </w:r>
            <w:r>
              <w:rPr>
                <w:lang w:val="en-GB"/>
              </w:rPr>
              <w:t xml:space="preserve">and external </w:t>
            </w:r>
            <w:r w:rsidRPr="001762B7">
              <w:rPr>
                <w:lang w:val="en-GB"/>
              </w:rPr>
              <w:t>stakeholders</w:t>
            </w:r>
            <w:r>
              <w:rPr>
                <w:lang w:val="en-GB"/>
              </w:rPr>
              <w:t xml:space="preserve"> that request MRL harmonisation</w:t>
            </w:r>
            <w:r w:rsidRPr="001762B7">
              <w:rPr>
                <w:lang w:val="en-GB"/>
              </w:rPr>
              <w:t xml:space="preserve"> </w:t>
            </w:r>
          </w:p>
          <w:p w14:paraId="0F559CAB" w14:textId="77777777" w:rsidR="00692C32" w:rsidRPr="001762B7" w:rsidRDefault="00692C32" w:rsidP="00D73F0F">
            <w:pPr>
              <w:pStyle w:val="AARTableText"/>
              <w:rPr>
                <w:lang w:val="en-GB"/>
              </w:rPr>
            </w:pPr>
          </w:p>
        </w:tc>
      </w:tr>
      <w:tr w:rsidR="00692C32" w:rsidRPr="00742870" w14:paraId="0F559CB8" w14:textId="77777777" w:rsidTr="00D73F0F">
        <w:trPr>
          <w:cantSplit/>
        </w:trPr>
        <w:tc>
          <w:tcPr>
            <w:tcW w:w="9067" w:type="dxa"/>
          </w:tcPr>
          <w:p w14:paraId="0F559CAD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assessment:</w:t>
            </w:r>
          </w:p>
          <w:p w14:paraId="0F559CAE" w14:textId="77777777" w:rsidR="00692C32" w:rsidRPr="00742870" w:rsidRDefault="00692C32" w:rsidP="00D73F0F">
            <w:pPr>
              <w:pStyle w:val="AARTableText"/>
              <w:rPr>
                <w:lang w:val="en-GB"/>
              </w:rPr>
            </w:pPr>
          </w:p>
          <w:p w14:paraId="0F559CAF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>
              <w:rPr>
                <w:b/>
                <w:lang w:val="en-GB"/>
              </w:rPr>
              <w:t xml:space="preserve"> 20 June 2019</w:t>
            </w:r>
          </w:p>
          <w:p w14:paraId="0F559CB0" w14:textId="77777777" w:rsidR="00692C32" w:rsidRPr="00742870" w:rsidRDefault="00692C32" w:rsidP="00D73F0F">
            <w:pPr>
              <w:pStyle w:val="AARTableText"/>
              <w:rPr>
                <w:b/>
                <w:lang w:val="en-GB"/>
              </w:rPr>
            </w:pPr>
          </w:p>
          <w:p w14:paraId="0F559CB1" w14:textId="77777777" w:rsidR="00692C32" w:rsidRPr="00475636" w:rsidRDefault="00692C32" w:rsidP="00D73F0F">
            <w:pPr>
              <w:pStyle w:val="AARTableText"/>
              <w:ind w:left="6237" w:hanging="6237"/>
              <w:rPr>
                <w:lang w:val="en-GB"/>
              </w:rPr>
            </w:pPr>
            <w:r w:rsidRPr="00475636">
              <w:rPr>
                <w:lang w:val="en-GB"/>
              </w:rPr>
              <w:t xml:space="preserve">Commence assessment (clock start – </w:t>
            </w:r>
            <w:r w:rsidRPr="00475636">
              <w:rPr>
                <w:b/>
                <w:lang w:val="en-GB"/>
              </w:rPr>
              <w:t>on the day fees are received</w:t>
            </w:r>
            <w:r w:rsidRPr="00475636">
              <w:rPr>
                <w:lang w:val="en-GB"/>
              </w:rPr>
              <w:t>)</w:t>
            </w:r>
            <w:r w:rsidRPr="00475636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   Late-</w:t>
            </w:r>
            <w:r w:rsidRPr="00475636">
              <w:rPr>
                <w:lang w:val="en-GB"/>
              </w:rPr>
              <w:t>June 2019</w:t>
            </w:r>
          </w:p>
          <w:p w14:paraId="0F559CB2" w14:textId="77777777" w:rsidR="00692C32" w:rsidRPr="00475636" w:rsidRDefault="00692C32" w:rsidP="00D73F0F">
            <w:pPr>
              <w:pStyle w:val="AARTableText"/>
              <w:ind w:left="6237" w:hanging="6237"/>
              <w:rPr>
                <w:lang w:val="en-GB"/>
              </w:rPr>
            </w:pPr>
            <w:r w:rsidRPr="00475636">
              <w:rPr>
                <w:lang w:val="en-GB"/>
              </w:rPr>
              <w:t>Completion of assessment &amp; preparation of draft food regulatory measure</w:t>
            </w:r>
            <w:r w:rsidRPr="00475636">
              <w:rPr>
                <w:lang w:val="en-GB"/>
              </w:rPr>
              <w:tab/>
            </w:r>
            <w:r>
              <w:rPr>
                <w:lang w:val="en-GB"/>
              </w:rPr>
              <w:t>Late-</w:t>
            </w:r>
            <w:r w:rsidRPr="00475636">
              <w:rPr>
                <w:lang w:val="en-GB"/>
              </w:rPr>
              <w:t>July 2019</w:t>
            </w:r>
          </w:p>
          <w:p w14:paraId="0F559CB3" w14:textId="77777777" w:rsidR="00692C32" w:rsidRPr="00475636" w:rsidRDefault="00692C32" w:rsidP="00D73F0F">
            <w:pPr>
              <w:pStyle w:val="AARTableText"/>
              <w:ind w:left="6237" w:hanging="6237"/>
              <w:rPr>
                <w:lang w:val="en-GB"/>
              </w:rPr>
            </w:pPr>
            <w:r w:rsidRPr="00475636">
              <w:rPr>
                <w:lang w:val="en-GB"/>
              </w:rPr>
              <w:t>Public comment</w:t>
            </w:r>
            <w:r w:rsidRPr="00475636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   Early-</w:t>
            </w:r>
            <w:r w:rsidRPr="00475636">
              <w:rPr>
                <w:lang w:val="en-GB"/>
              </w:rPr>
              <w:t>August 2019</w:t>
            </w:r>
          </w:p>
          <w:p w14:paraId="0F559CB4" w14:textId="77777777" w:rsidR="00692C32" w:rsidRPr="00475636" w:rsidRDefault="00692C32" w:rsidP="00D73F0F">
            <w:pPr>
              <w:pStyle w:val="AARTableText"/>
              <w:ind w:left="6237" w:hanging="6237"/>
              <w:rPr>
                <w:lang w:val="en-GB"/>
              </w:rPr>
            </w:pPr>
            <w:r w:rsidRPr="00475636">
              <w:rPr>
                <w:lang w:val="en-GB"/>
              </w:rPr>
              <w:t>Board to complete approval</w:t>
            </w:r>
            <w:r w:rsidRPr="00475636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   Mid-September/ Late October </w:t>
            </w:r>
            <w:r w:rsidRPr="00475636">
              <w:rPr>
                <w:lang w:val="en-GB"/>
              </w:rPr>
              <w:t>2019</w:t>
            </w:r>
          </w:p>
          <w:p w14:paraId="0F559CB5" w14:textId="77777777" w:rsidR="00692C32" w:rsidRPr="00475636" w:rsidRDefault="00692C32" w:rsidP="00D73F0F">
            <w:pPr>
              <w:pStyle w:val="AARTableText"/>
              <w:ind w:left="6237" w:hanging="6237"/>
              <w:rPr>
                <w:lang w:val="en-GB"/>
              </w:rPr>
            </w:pPr>
            <w:r w:rsidRPr="00475636">
              <w:rPr>
                <w:lang w:val="en-GB"/>
              </w:rPr>
              <w:t>Notification to Forum</w:t>
            </w:r>
            <w:r w:rsidRPr="00475636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   Late</w:t>
            </w:r>
            <w:r w:rsidRPr="00475636">
              <w:rPr>
                <w:lang w:val="en-GB"/>
              </w:rPr>
              <w:t>-</w:t>
            </w:r>
            <w:r>
              <w:rPr>
                <w:lang w:val="en-GB"/>
              </w:rPr>
              <w:t>September/ Early November</w:t>
            </w:r>
            <w:r w:rsidRPr="00475636">
              <w:rPr>
                <w:lang w:val="en-GB"/>
              </w:rPr>
              <w:t xml:space="preserve"> 2019</w:t>
            </w:r>
          </w:p>
          <w:p w14:paraId="0F559CB6" w14:textId="77777777" w:rsidR="00692C32" w:rsidRPr="00475636" w:rsidRDefault="00692C32" w:rsidP="00D73F0F">
            <w:pPr>
              <w:pStyle w:val="AARTableText"/>
              <w:ind w:left="6237" w:hanging="6237"/>
              <w:rPr>
                <w:lang w:val="en-GB"/>
              </w:rPr>
            </w:pPr>
            <w:r w:rsidRPr="00475636">
              <w:rPr>
                <w:lang w:val="en-GB"/>
              </w:rPr>
              <w:t>Anticipated gazettal if no review requested</w:t>
            </w:r>
            <w:r w:rsidRPr="00475636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   Mid</w:t>
            </w:r>
            <w:r w:rsidRPr="00475636">
              <w:rPr>
                <w:lang w:val="en-GB"/>
              </w:rPr>
              <w:t>-December 2019</w:t>
            </w:r>
            <w:r>
              <w:rPr>
                <w:lang w:val="en-GB"/>
              </w:rPr>
              <w:t>/ Early-January 2020</w:t>
            </w:r>
          </w:p>
          <w:p w14:paraId="0F559CB7" w14:textId="77777777" w:rsidR="00692C32" w:rsidRPr="00742870" w:rsidRDefault="00692C32" w:rsidP="00D73F0F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0F559CB9" w14:textId="77777777" w:rsidR="00692C32" w:rsidRPr="00742870" w:rsidRDefault="00692C32" w:rsidP="00692C32">
      <w:pPr>
        <w:rPr>
          <w:lang w:val="en-GB"/>
        </w:rPr>
      </w:pPr>
    </w:p>
    <w:p w14:paraId="0F559CBA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9CBF" w14:textId="77777777" w:rsidR="00BF65FC" w:rsidRDefault="00BF65FC" w:rsidP="00692C32">
      <w:r>
        <w:separator/>
      </w:r>
    </w:p>
  </w:endnote>
  <w:endnote w:type="continuationSeparator" w:id="0">
    <w:p w14:paraId="0F559CC0" w14:textId="77777777" w:rsidR="00BF65FC" w:rsidRDefault="00BF65FC" w:rsidP="0069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59CBD" w14:textId="77777777" w:rsidR="00BF65FC" w:rsidRDefault="00BF65FC" w:rsidP="00692C32">
      <w:r>
        <w:separator/>
      </w:r>
    </w:p>
  </w:footnote>
  <w:footnote w:type="continuationSeparator" w:id="0">
    <w:p w14:paraId="0F559CBE" w14:textId="77777777" w:rsidR="00BF65FC" w:rsidRDefault="00BF65FC" w:rsidP="0069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32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33EB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92C32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BF65FC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59C46"/>
  <w15:chartTrackingRefBased/>
  <w15:docId w15:val="{89414C0F-1E81-4894-B541-BF445365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692C32"/>
    <w:rPr>
      <w:rFonts w:eastAsia="Times New Roman" w:cs="Times New Roman"/>
      <w:szCs w:val="24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Title">
    <w:name w:val="FS Title"/>
    <w:basedOn w:val="Normal"/>
    <w:rsid w:val="00692C32"/>
    <w:pPr>
      <w:widowControl w:val="0"/>
    </w:pPr>
    <w:rPr>
      <w:rFonts w:cs="Tahoma"/>
      <w:bCs/>
      <w:sz w:val="32"/>
      <w:lang w:val="en-GB" w:bidi="en-US"/>
    </w:rPr>
  </w:style>
  <w:style w:type="paragraph" w:styleId="Title">
    <w:name w:val="Title"/>
    <w:basedOn w:val="Normal"/>
    <w:link w:val="TitleChar"/>
    <w:rsid w:val="00692C32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692C32"/>
    <w:rPr>
      <w:rFonts w:eastAsia="Times New Roman" w:cs="Times New Roman"/>
      <w:b/>
      <w:bCs/>
      <w:i/>
      <w:iCs/>
      <w:szCs w:val="24"/>
    </w:rPr>
  </w:style>
  <w:style w:type="paragraph" w:customStyle="1" w:styleId="AARTableText">
    <w:name w:val="AAR Table Text"/>
    <w:basedOn w:val="Normal"/>
    <w:qFormat/>
    <w:rsid w:val="00692C32"/>
    <w:pPr>
      <w:spacing w:before="60" w:after="60"/>
    </w:pPr>
    <w:rPr>
      <w:rFonts w:cs="Arial"/>
      <w:sz w:val="20"/>
      <w:szCs w:val="20"/>
    </w:rPr>
  </w:style>
  <w:style w:type="paragraph" w:customStyle="1" w:styleId="AARBullet">
    <w:name w:val="AAR Bullet"/>
    <w:basedOn w:val="Normal"/>
    <w:qFormat/>
    <w:rsid w:val="00692C32"/>
    <w:pPr>
      <w:numPr>
        <w:numId w:val="14"/>
      </w:numPr>
      <w:spacing w:before="60" w:after="60"/>
      <w:ind w:left="284" w:hanging="284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66ddac19-06c4-4e63-b4dd-d8240d87a23f" value=""/>
</sisl>
</file>

<file path=customXml/itemProps1.xml><?xml version="1.0" encoding="utf-8"?>
<ds:datastoreItem xmlns:ds="http://schemas.openxmlformats.org/officeDocument/2006/customXml" ds:itemID="{00B1EF05-79AD-4BF4-9F45-0C8C669CDDD6}"/>
</file>

<file path=customXml/itemProps2.xml><?xml version="1.0" encoding="utf-8"?>
<ds:datastoreItem xmlns:ds="http://schemas.openxmlformats.org/officeDocument/2006/customXml" ds:itemID="{29645CFA-05E4-46B6-B0F6-2571D49089F0}"/>
</file>

<file path=customXml/itemProps3.xml><?xml version="1.0" encoding="utf-8"?>
<ds:datastoreItem xmlns:ds="http://schemas.openxmlformats.org/officeDocument/2006/customXml" ds:itemID="{A93F4FF2-C58D-4F8F-860D-BD318C69E8BE}"/>
</file>

<file path=customXml/itemProps4.xml><?xml version="1.0" encoding="utf-8"?>
<ds:datastoreItem xmlns:ds="http://schemas.openxmlformats.org/officeDocument/2006/customXml" ds:itemID="{9238167A-A66E-40EC-9238-6DBB57A7FD3C}"/>
</file>

<file path=customXml/itemProps5.xml><?xml version="1.0" encoding="utf-8"?>
<ds:datastoreItem xmlns:ds="http://schemas.openxmlformats.org/officeDocument/2006/customXml" ds:itemID="{74600951-18CC-4DB0-9813-8B88604E1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CoughC</cp:lastModifiedBy>
  <cp:revision>2</cp:revision>
  <dcterms:created xsi:type="dcterms:W3CDTF">2019-06-19T03:10:00Z</dcterms:created>
  <dcterms:modified xsi:type="dcterms:W3CDTF">2019-06-20T21:14:00Z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cf8fd869-6086-4d6a-81e8-7a8c360acdcb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4" name="bjDocumentLabelXML-0">
    <vt:lpwstr>ames.com/2008/01/sie/internal/label"&gt;&lt;element uid="66ddac19-06c4-4e63-b4dd-d8240d87a23f" value="" /&gt;&lt;/sisl&gt;</vt:lpwstr>
  </property>
  <property fmtid="{D5CDD505-2E9C-101B-9397-08002B2CF9AE}" pid="5" name="bjDocumentSecurityLabel">
    <vt:lpwstr>NO SECURITY CLASSIFICATION REQUIRED</vt:lpwstr>
  </property>
  <property fmtid="{D5CDD505-2E9C-101B-9397-08002B2CF9AE}" pid="6" name="bjSaver">
    <vt:lpwstr>CHMwBx+qyUKWIlrVihdWG0GEK68prPyl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0b5e56d2-4080-4962-893a-c7c60751d335</vt:lpwstr>
  </property>
  <property fmtid="{D5CDD505-2E9C-101B-9397-08002B2CF9AE}" pid="9" name="DisposalClass">
    <vt:lpwstr/>
  </property>
  <property fmtid="{D5CDD505-2E9C-101B-9397-08002B2CF9AE}" pid="10" name="BCS_">
    <vt:lpwstr>7;#FOOD STANDARDS:Evaluation|43bd8487-b9f6-4055-946c-a118d364275d</vt:lpwstr>
  </property>
</Properties>
</file>